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AI task card</w:t>
      </w:r>
    </w:p>
    <w:p>
      <w:pPr>
        <w:pStyle w:val="Subtitle"/>
      </w:pPr>
      <w:r>
        <w:t xml:space="preserve">From RunByOps guide 04: When your team uses AI, but not in a way you can rely on. Free to use and change.</w:t>
      </w:r>
    </w:p>
    <w:p>
      <w:pPr>
        <w:pStyle w:val="Heading1"/>
      </w:pPr>
      <w:r>
        <w:t xml:space="preserve">How to use this</w:t>
      </w:r>
    </w:p>
    <w:p>
      <w:r>
        <w:t xml:space="preserve">Use one card for each task your team does with AI. The card turns a personal habit into a step anyone can run the same way: the same inputs, the same instructions, a named check and a set place for the result.</w:t>
      </w:r>
    </w:p>
    <w:p>
      <w:pPr>
        <w:pStyle w:val="ListParagraph"/>
        <w:numPr>
          <w:ilvl w:val="0"/>
          <w:numId w:val="1"/>
        </w:numPr>
      </w:pPr>
      <w:r>
        <w:t xml:space="preserve">Fill in the task card below. If a task needs more than a page to describe, it’s probably two tasks.</w:t>
      </w:r>
    </w:p>
    <w:p>
      <w:pPr>
        <w:pStyle w:val="ListParagraph"/>
        <w:numPr>
          <w:ilvl w:val="0"/>
          <w:numId w:val="1"/>
        </w:numPr>
      </w:pPr>
      <w:r>
        <w:t xml:space="preserve">Write the instructions once, using the brief template on the next page, and give them a version number.</w:t>
      </w:r>
    </w:p>
    <w:p>
      <w:pPr>
        <w:pStyle w:val="ListParagraph"/>
        <w:numPr>
          <w:ilvl w:val="0"/>
          <w:numId w:val="1"/>
        </w:numPr>
      </w:pPr>
      <w:r>
        <w:t xml:space="preserve">Test the brief on about five past examples, and record what happened in the test log.</w:t>
      </w:r>
    </w:p>
    <w:p>
      <w:pPr>
        <w:pStyle w:val="ListParagraph"/>
        <w:numPr>
          <w:ilvl w:val="0"/>
          <w:numId w:val="1"/>
        </w:numPr>
      </w:pPr>
      <w:r>
        <w:t xml:space="preserve">Each time the checker corrects a result, add a line to the corrections log. When the same correction comes up twice, change the brief.</w:t>
      </w:r>
    </w:p>
    <w:p>
      <w:pPr>
        <w:pStyle w:val="ListParagraph"/>
        <w:numPr>
          <w:ilvl w:val="0"/>
          <w:numId w:val="1"/>
        </w:numPr>
      </w:pPr>
      <w:r>
        <w:t xml:space="preserve">Once a month, go through the review checklist: keep the step, change it or stop.</w:t>
      </w:r>
    </w:p>
    <w:p>
      <w:pPr>
        <w:pStyle w:val="Heading1"/>
      </w:pPr>
      <w:r>
        <w:t xml:space="preserve">The task card</w:t>
      </w:r>
    </w:p>
    <w:tbl>
      <w:tblPr>
        <w:tblW w:w="9866"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3000"/>
        <w:gridCol w:w="6866"/>
      </w:tblGrid>
      <w:tr>
        <w:trPr>
          <w:cantSplit/>
          <w:tblHeader/>
        </w:trPr>
        <w:tc>
          <w:tcPr>
            <w:tcW w:w="3000" w:type="dxa"/>
            <w:shd w:val="clear" w:color="auto" w:fill="FCEC9F"/>
          </w:tcPr>
          <w:p>
            <w:pPr>
              <w:pStyle w:val="TableText"/>
            </w:pPr>
            <w:r>
              <w:rPr>
                <w:b/>
                <w:bCs/>
                <w:sz w:val="17"/>
                <w:szCs w:val="17"/>
              </w:rPr>
              <w:t xml:space="preserve">Field</w:t>
            </w:r>
          </w:p>
        </w:tc>
        <w:tc>
          <w:tcPr>
            <w:tcW w:w="6866" w:type="dxa"/>
            <w:shd w:val="clear" w:color="auto" w:fill="FCEC9F"/>
          </w:tcPr>
          <w:p>
            <w:pPr>
              <w:pStyle w:val="TableText"/>
            </w:pPr>
            <w:r>
              <w:rPr>
                <w:b/>
                <w:bCs/>
                <w:sz w:val="17"/>
                <w:szCs w:val="17"/>
              </w:rPr>
              <w:t xml:space="preserve">Your answer</w:t>
            </w:r>
          </w:p>
        </w:tc>
      </w:tr>
      <w:tr>
        <w:trPr>
          <w:cantSplit/>
          <w:trHeight w:val="560" w:hRule="atLeast"/>
        </w:trPr>
        <w:tc>
          <w:tcPr>
            <w:tcW w:w="3000" w:type="dxa"/>
          </w:tcPr>
          <w:p>
            <w:pPr>
              <w:pStyle w:val="TableText"/>
            </w:pPr>
            <w:r>
              <w:rPr>
                <w:b/>
                <w:bCs/>
              </w:rPr>
              <w:t xml:space="preserve">Task</w:t>
            </w:r>
          </w:p>
        </w:tc>
        <w:tc>
          <w:tcPr>
            <w:tcW w:w="6866" w:type="dxa"/>
          </w:tcPr>
          <w:p>
            <w:pPr>
              <w:pStyle w:val="TableText"/>
            </w:pPr>
            <w:r>
              <w:rPr>
                <w:i/>
                <w:iCs/>
                <w:color w:val="4A463F"/>
              </w:rPr>
              <w:t xml:space="preserve">In a few words, for example ‘Workshop follow-up email’</w:t>
            </w:r>
          </w:p>
        </w:tc>
      </w:tr>
      <w:tr>
        <w:trPr>
          <w:cantSplit/>
          <w:trHeight w:val="560" w:hRule="atLeast"/>
        </w:trPr>
        <w:tc>
          <w:tcPr>
            <w:tcW w:w="3000" w:type="dxa"/>
          </w:tcPr>
          <w:p>
            <w:pPr>
              <w:pStyle w:val="TableText"/>
            </w:pPr>
            <w:r>
              <w:rPr>
                <w:b/>
                <w:bCs/>
              </w:rPr>
              <w:t xml:space="preserve">When it runs</w:t>
            </w:r>
          </w:p>
        </w:tc>
        <w:tc>
          <w:tcPr>
            <w:tcW w:w="6866" w:type="dxa"/>
          </w:tcPr>
          <w:p>
            <w:pPr>
              <w:pStyle w:val="TableText"/>
            </w:pPr>
            <w:r>
              <w:rPr>
                <w:i/>
                <w:iCs/>
                <w:color w:val="4A463F"/>
              </w:rPr>
              <w:t xml:space="preserve">What starts it, and how soon after</w:t>
            </w:r>
          </w:p>
        </w:tc>
      </w:tr>
      <w:tr>
        <w:trPr>
          <w:cantSplit/>
          <w:trHeight w:val="560" w:hRule="atLeast"/>
        </w:trPr>
        <w:tc>
          <w:tcPr>
            <w:tcW w:w="3000" w:type="dxa"/>
          </w:tcPr>
          <w:p>
            <w:pPr>
              <w:pStyle w:val="TableText"/>
            </w:pPr>
            <w:r>
              <w:rPr>
                <w:b/>
                <w:bCs/>
              </w:rPr>
              <w:t xml:space="preserve">Inputs, and where they come from</w:t>
            </w:r>
          </w:p>
        </w:tc>
        <w:tc>
          <w:tcPr>
            <w:tcW w:w="6866" w:type="dxa"/>
          </w:tcPr>
          <w:p>
            <w:pPr>
              <w:pStyle w:val="TableText"/>
            </w:pPr>
            <w:r>
              <w:rPr>
                <w:i/>
                <w:iCs/>
                <w:color w:val="4A463F"/>
              </w:rPr>
              <w:t xml:space="preserve">Each input, and the file, system or person it comes from</w:t>
            </w:r>
          </w:p>
        </w:tc>
      </w:tr>
      <w:tr>
        <w:trPr>
          <w:cantSplit/>
          <w:trHeight w:val="560" w:hRule="atLeast"/>
        </w:trPr>
        <w:tc>
          <w:tcPr>
            <w:tcW w:w="3000" w:type="dxa"/>
          </w:tcPr>
          <w:p>
            <w:pPr>
              <w:pStyle w:val="TableText"/>
            </w:pPr>
            <w:r>
              <w:rPr>
                <w:b/>
                <w:bCs/>
              </w:rPr>
              <w:t xml:space="preserve">What stays out</w:t>
            </w:r>
          </w:p>
        </w:tc>
        <w:tc>
          <w:tcPr>
            <w:tcW w:w="6866" w:type="dxa"/>
          </w:tcPr>
          <w:p>
            <w:pPr>
              <w:pStyle w:val="TableText"/>
            </w:pPr>
            <w:r>
              <w:rPr>
                <w:i/>
                <w:iCs/>
                <w:color w:val="4A463F"/>
              </w:rPr>
              <w:t xml:space="preserve">Personal or confidential details the task doesn’t need</w:t>
            </w:r>
          </w:p>
        </w:tc>
      </w:tr>
      <w:tr>
        <w:trPr>
          <w:cantSplit/>
          <w:trHeight w:val="560" w:hRule="atLeast"/>
        </w:trPr>
        <w:tc>
          <w:tcPr>
            <w:tcW w:w="3000" w:type="dxa"/>
          </w:tcPr>
          <w:p>
            <w:pPr>
              <w:pStyle w:val="TableText"/>
            </w:pPr>
            <w:r>
              <w:rPr>
                <w:b/>
                <w:bCs/>
              </w:rPr>
              <w:t xml:space="preserve">Tool and account</w:t>
            </w:r>
          </w:p>
        </w:tc>
        <w:tc>
          <w:tcPr>
            <w:tcW w:w="6866" w:type="dxa"/>
          </w:tcPr>
          <w:p>
            <w:pPr>
              <w:pStyle w:val="TableText"/>
            </w:pPr>
            <w:r>
              <w:rPr>
                <w:i/>
                <w:iCs/>
                <w:color w:val="4A463F"/>
              </w:rPr>
              <w:t xml:space="preserve">Which tool, and which account: a business one, not personal</w:t>
            </w:r>
          </w:p>
        </w:tc>
      </w:tr>
      <w:tr>
        <w:trPr>
          <w:cantSplit/>
          <w:trHeight w:val="560" w:hRule="atLeast"/>
        </w:trPr>
        <w:tc>
          <w:tcPr>
            <w:tcW w:w="3000" w:type="dxa"/>
          </w:tcPr>
          <w:p>
            <w:pPr>
              <w:pStyle w:val="TableText"/>
            </w:pPr>
            <w:r>
              <w:rPr>
                <w:b/>
                <w:bCs/>
              </w:rPr>
              <w:t xml:space="preserve">Instructions (brief name and version)</w:t>
            </w:r>
          </w:p>
        </w:tc>
        <w:tc>
          <w:tcPr>
            <w:tcW w:w="6866" w:type="dxa"/>
          </w:tcPr>
          <w:p>
            <w:pPr>
              <w:pStyle w:val="TableText"/>
            </w:pPr>
            <w:r>
              <w:rPr>
                <w:i/>
                <w:iCs/>
                <w:color w:val="4A463F"/>
              </w:rPr>
              <w:t xml:space="preserve">The brief’s name, version and where it’s kept</w:t>
            </w:r>
          </w:p>
        </w:tc>
      </w:tr>
      <w:tr>
        <w:trPr>
          <w:cantSplit/>
          <w:trHeight w:val="560" w:hRule="atLeast"/>
        </w:trPr>
        <w:tc>
          <w:tcPr>
            <w:tcW w:w="3000" w:type="dxa"/>
          </w:tcPr>
          <w:p>
            <w:pPr>
              <w:pStyle w:val="TableText"/>
            </w:pPr>
            <w:r>
              <w:rPr>
                <w:b/>
                <w:bCs/>
              </w:rPr>
              <w:t xml:space="preserve">Checked by, and against what</w:t>
            </w:r>
          </w:p>
        </w:tc>
        <w:tc>
          <w:tcPr>
            <w:tcW w:w="6866" w:type="dxa"/>
          </w:tcPr>
          <w:p>
            <w:pPr>
              <w:pStyle w:val="TableText"/>
            </w:pPr>
            <w:r>
              <w:rPr>
                <w:i/>
                <w:iCs/>
                <w:color w:val="4A463F"/>
              </w:rPr>
              <w:t xml:space="preserve">A named person, and what they check the result against</w:t>
            </w:r>
          </w:p>
        </w:tc>
      </w:tr>
      <w:tr>
        <w:trPr>
          <w:cantSplit/>
          <w:trHeight w:val="560" w:hRule="atLeast"/>
        </w:trPr>
        <w:tc>
          <w:tcPr>
            <w:tcW w:w="3000" w:type="dxa"/>
          </w:tcPr>
          <w:p>
            <w:pPr>
              <w:pStyle w:val="TableText"/>
            </w:pPr>
            <w:r>
              <w:rPr>
                <w:b/>
                <w:bCs/>
              </w:rPr>
              <w:t xml:space="preserve">Where the result goes</w:t>
            </w:r>
          </w:p>
        </w:tc>
        <w:tc>
          <w:tcPr>
            <w:tcW w:w="6866" w:type="dxa"/>
          </w:tcPr>
          <w:p>
            <w:pPr>
              <w:pStyle w:val="TableText"/>
            </w:pPr>
            <w:r>
              <w:rPr>
                <w:i/>
                <w:iCs/>
                <w:color w:val="4A463F"/>
              </w:rPr>
              <w:t xml:space="preserve">The file, system or thread it ends up in</w:t>
            </w:r>
          </w:p>
        </w:tc>
      </w:tr>
      <w:tr>
        <w:trPr>
          <w:cantSplit/>
          <w:trHeight w:val="560" w:hRule="atLeast"/>
        </w:trPr>
        <w:tc>
          <w:tcPr>
            <w:tcW w:w="3000" w:type="dxa"/>
          </w:tcPr>
          <w:p>
            <w:pPr>
              <w:pStyle w:val="TableText"/>
            </w:pPr>
            <w:r>
              <w:rPr>
                <w:b/>
                <w:bCs/>
              </w:rPr>
              <w:t xml:space="preserve">Card owner</w:t>
            </w:r>
          </w:p>
        </w:tc>
        <w:tc>
          <w:tcPr>
            <w:tcW w:w="6866" w:type="dxa"/>
          </w:tcPr>
          <w:p>
            <w:pPr>
              <w:pStyle w:val="TableText"/>
            </w:pPr>
            <w:r>
              <w:rPr>
                <w:i/>
                <w:iCs/>
                <w:color w:val="4A463F"/>
              </w:rPr>
              <w:t xml:space="preserve">Who keeps this card up to date</w:t>
            </w:r>
          </w:p>
        </w:tc>
      </w:tr>
      <w:tr>
        <w:trPr>
          <w:cantSplit/>
          <w:trHeight w:val="560" w:hRule="atLeast"/>
        </w:trPr>
        <w:tc>
          <w:tcPr>
            <w:tcW w:w="3000" w:type="dxa"/>
          </w:tcPr>
          <w:p>
            <w:pPr>
              <w:pStyle w:val="TableText"/>
            </w:pPr>
            <w:r>
              <w:rPr>
                <w:b/>
                <w:bCs/>
              </w:rPr>
              <w:t xml:space="preserve">Next review</w:t>
            </w:r>
          </w:p>
        </w:tc>
        <w:tc>
          <w:tcPr>
            <w:tcW w:w="6866" w:type="dxa"/>
          </w:tcPr>
          <w:p>
            <w:pPr>
              <w:pStyle w:val="TableText"/>
            </w:pPr>
            <w:r>
              <w:rPr>
                <w:i/>
                <w:iCs/>
                <w:color w:val="4A463F"/>
              </w:rPr>
              <w:t xml:space="preserve">A date</w:t>
            </w:r>
          </w:p>
        </w:tc>
      </w:tr>
    </w:tbl>
    <w:p>
      <w:pPr>
        <w:pStyle w:val="Small"/>
      </w:pPr>
      <w:r>
        <w:t xml:space="preserve">Before client or staff information goes into any AI tool, check what kind of account it is, where the data is kept, whether it’s used to train models, and who can see the history.</w:t>
      </w:r>
    </w:p>
    <w:p>
      <w:pPr>
        <w:pStyle w:val="Heading1"/>
        <w:pageBreakBefore/>
      </w:pPr>
      <w:r>
        <w:t xml:space="preserve">Brief template</w:t>
      </w:r>
    </w:p>
    <w:p>
      <w:r>
        <w:t xml:space="preserve">Replace everything in square brackets. Keep the line about missing information: it’s what stops the tool from guessing.</w:t>
      </w:r>
    </w:p>
    <w:p>
      <w:pPr>
        <w:pStyle w:val="Code"/>
      </w:pPr>
      <w:r>
        <w:t xml:space="preserve">You are [doing the task] for [who it is for].</w:t>
      </w:r>
    </w:p>
    <w:p>
      <w:pPr>
        <w:pStyle w:val="Code"/>
      </w:pPr>
      <w:r>
        <w:t xml:space="preserve"> </w:t>
      </w:r>
    </w:p>
    <w:p>
      <w:pPr>
        <w:pStyle w:val="Code"/>
      </w:pPr>
      <w:r>
        <w:t xml:space="preserve">Use only [the inputs] below. Do not add [what it must</w:t>
      </w:r>
    </w:p>
    <w:p>
      <w:pPr>
        <w:pStyle w:val="Code"/>
      </w:pPr>
      <w:r>
        <w:t xml:space="preserve">never add]. If something is unclear or missing, write</w:t>
      </w:r>
    </w:p>
    <w:p>
      <w:pPr>
        <w:pStyle w:val="Code"/>
      </w:pPr>
      <w:r>
        <w:t xml:space="preserve">[CHECK: what is missing] instead of guessing.</w:t>
      </w:r>
    </w:p>
    <w:p>
      <w:pPr>
        <w:pStyle w:val="Code"/>
      </w:pPr>
      <w:r>
        <w:t xml:space="preserve"> </w:t>
      </w:r>
    </w:p>
    <w:p>
      <w:pPr>
        <w:pStyle w:val="Code"/>
      </w:pPr>
      <w:r>
        <w:t xml:space="preserve">Write:</w:t>
      </w:r>
    </w:p>
    <w:p>
      <w:pPr>
        <w:pStyle w:val="Code"/>
      </w:pPr>
      <w:r>
        <w:t xml:space="preserve">- [first part]</w:t>
      </w:r>
    </w:p>
    <w:p>
      <w:pPr>
        <w:pStyle w:val="Code"/>
      </w:pPr>
      <w:r>
        <w:t xml:space="preserve">- [second part]</w:t>
      </w:r>
    </w:p>
    <w:p>
      <w:pPr>
        <w:pStyle w:val="Code"/>
      </w:pPr>
      <w:r>
        <w:t xml:space="preserve"> </w:t>
      </w:r>
    </w:p>
    <w:p>
      <w:pPr>
        <w:pStyle w:val="Code"/>
      </w:pPr>
      <w:r>
        <w:t xml:space="preserve">Format: [length, tone, layout].</w:t>
      </w:r>
    </w:p>
    <w:p>
      <w:pPr>
        <w:pStyle w:val="Code"/>
      </w:pPr>
      <w:r>
        <w:t xml:space="preserve"> </w:t>
      </w:r>
    </w:p>
    <w:p>
      <w:pPr>
        <w:pStyle w:val="Code"/>
      </w:pPr>
      <w:r>
        <w:t xml:space="preserve">After the result, list anything you left out, and why.</w:t>
      </w:r>
    </w:p>
    <w:p>
      <w:pPr>
        <w:pStyle w:val="Code"/>
      </w:pPr>
      <w:r>
        <w:t xml:space="preserve"> </w:t>
      </w:r>
    </w:p>
    <w:p>
      <w:pPr>
        <w:pStyle w:val="Code"/>
      </w:pPr>
      <w:r>
        <w:t xml:space="preserve">[Input 1]:</w:t>
      </w:r>
    </w:p>
    <w:p>
      <w:pPr>
        <w:pStyle w:val="Code"/>
      </w:pPr>
      <w:r>
        <w:t xml:space="preserve">[paste here]</w:t>
      </w:r>
    </w:p>
    <w:p>
      <w:pPr>
        <w:pStyle w:val="Code"/>
      </w:pPr>
      <w:r>
        <w:t xml:space="preserve"> </w:t>
      </w:r>
    </w:p>
    <w:p>
      <w:pPr>
        <w:pStyle w:val="Code"/>
      </w:pPr>
      <w:r>
        <w:t xml:space="preserve">[Input 2]:</w:t>
      </w:r>
    </w:p>
    <w:p>
      <w:pPr>
        <w:pStyle w:val="Code"/>
      </w:pPr>
      <w:r>
        <w:t xml:space="preserve">[paste here]</w:t>
      </w:r>
    </w:p>
    <w:p>
      <w:pPr>
        <w:spacing w:after="0"/>
      </w:pPr>
      <w:r/>
    </w:p>
    <w:p>
      <w:pPr>
        <w:pStyle w:val="Heading2"/>
      </w:pPr>
      <w:r>
        <w:t xml:space="preserve">Example brief: a meeting follow-up email</w:t>
      </w:r>
    </w:p>
    <w:p>
      <w:pPr>
        <w:pStyle w:val="Code"/>
      </w:pPr>
      <w:r>
        <w:t xml:space="preserve">You are drafting a follow-up email after a client meeting.</w:t>
      </w:r>
    </w:p>
    <w:p>
      <w:pPr>
        <w:pStyle w:val="Code"/>
      </w:pPr>
      <w:r>
        <w:t xml:space="preserve"> </w:t>
      </w:r>
    </w:p>
    <w:p>
      <w:pPr>
        <w:pStyle w:val="Code"/>
      </w:pPr>
      <w:r>
        <w:t xml:space="preserve">Use only the meeting notes and the agreed scope below.</w:t>
      </w:r>
    </w:p>
    <w:p>
      <w:pPr>
        <w:pStyle w:val="Code"/>
      </w:pPr>
      <w:r>
        <w:t xml:space="preserve">Do not add commitments, dates, prices or advice that are</w:t>
      </w:r>
    </w:p>
    <w:p>
      <w:pPr>
        <w:pStyle w:val="Code"/>
      </w:pPr>
      <w:r>
        <w:t xml:space="preserve">not in them. If something is unclear or missing, write</w:t>
      </w:r>
    </w:p>
    <w:p>
      <w:pPr>
        <w:pStyle w:val="Code"/>
      </w:pPr>
      <w:r>
        <w:t xml:space="preserve">[CHECK: what is missing] instead of guessing.</w:t>
      </w:r>
    </w:p>
    <w:p>
      <w:pPr>
        <w:pStyle w:val="Code"/>
      </w:pPr>
      <w:r>
        <w:t xml:space="preserve"> </w:t>
      </w:r>
    </w:p>
    <w:p>
      <w:pPr>
        <w:pStyle w:val="Code"/>
      </w:pPr>
      <w:r>
        <w:t xml:space="preserve">Write:</w:t>
      </w:r>
    </w:p>
    <w:p>
      <w:pPr>
        <w:pStyle w:val="Code"/>
      </w:pPr>
      <w:r>
        <w:t xml:space="preserve">- one line thanking them for their time</w:t>
      </w:r>
    </w:p>
    <w:p>
      <w:pPr>
        <w:pStyle w:val="Code"/>
      </w:pPr>
      <w:r>
        <w:t xml:space="preserve">- what was agreed, as a short list</w:t>
      </w:r>
    </w:p>
    <w:p>
      <w:pPr>
        <w:pStyle w:val="Code"/>
      </w:pPr>
      <w:r>
        <w:t xml:space="preserve">- who is doing what, and by when, as a list</w:t>
      </w:r>
    </w:p>
    <w:p>
      <w:pPr>
        <w:pStyle w:val="Code"/>
      </w:pPr>
      <w:r>
        <w:t xml:space="preserve">- open questions, as a list</w:t>
      </w:r>
    </w:p>
    <w:p>
      <w:pPr>
        <w:pStyle w:val="Code"/>
      </w:pPr>
      <w:r>
        <w:t xml:space="preserve"> </w:t>
      </w:r>
    </w:p>
    <w:p>
      <w:pPr>
        <w:pStyle w:val="Code"/>
      </w:pPr>
      <w:r>
        <w:t xml:space="preserve">Keep it under 200 words, in plain Australian English.</w:t>
      </w:r>
    </w:p>
    <w:p>
      <w:pPr>
        <w:pStyle w:val="Code"/>
      </w:pPr>
      <w:r>
        <w:t xml:space="preserve"> </w:t>
      </w:r>
    </w:p>
    <w:p>
      <w:pPr>
        <w:pStyle w:val="Code"/>
      </w:pPr>
      <w:r>
        <w:t xml:space="preserve">After the email, list anything from the notes you left</w:t>
      </w:r>
    </w:p>
    <w:p>
      <w:pPr>
        <w:pStyle w:val="Code"/>
      </w:pPr>
      <w:r>
        <w:t xml:space="preserve">out, and why.</w:t>
      </w:r>
    </w:p>
    <w:p>
      <w:pPr>
        <w:pStyle w:val="Code"/>
      </w:pPr>
      <w:r>
        <w:t xml:space="preserve"> </w:t>
      </w:r>
    </w:p>
    <w:p>
      <w:pPr>
        <w:pStyle w:val="Code"/>
      </w:pPr>
      <w:r>
        <w:t xml:space="preserve">Meeting notes:</w:t>
      </w:r>
    </w:p>
    <w:p>
      <w:pPr>
        <w:pStyle w:val="Code"/>
      </w:pPr>
      <w:r>
        <w:t xml:space="preserve">[paste here]</w:t>
      </w:r>
    </w:p>
    <w:p>
      <w:pPr>
        <w:pStyle w:val="Code"/>
      </w:pPr>
      <w:r>
        <w:t xml:space="preserve"> </w:t>
      </w:r>
    </w:p>
    <w:p>
      <w:pPr>
        <w:pStyle w:val="Code"/>
      </w:pPr>
      <w:r>
        <w:t xml:space="preserve">Agreed scope:</w:t>
      </w:r>
    </w:p>
    <w:p>
      <w:pPr>
        <w:pStyle w:val="Code"/>
      </w:pPr>
      <w:r>
        <w:t xml:space="preserve">[paste here]</w:t>
      </w:r>
    </w:p>
    <w:p>
      <w:pPr>
        <w:spacing w:after="0"/>
      </w:pPr>
      <w:r/>
    </w:p>
    <w:p>
      <w:pPr>
        <w:pStyle w:val="Heading1"/>
        <w:pageBreakBefore/>
      </w:pPr>
      <w:r>
        <w:t xml:space="preserve">Test log</w:t>
      </w:r>
    </w:p>
    <w:p>
      <w:r>
        <w:t xml:space="preserve">Run the brief on about five past examples where you know what a good result looks like. Change the brief until the drafts need only light edits, and keep the examples for testing the next change.</w:t>
      </w:r>
    </w:p>
    <w:tbl>
      <w:tblPr>
        <w:tblW w:w="9866"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2000"/>
        <w:gridCol w:w="2700"/>
        <w:gridCol w:w="2700"/>
        <w:gridCol w:w="2466"/>
      </w:tblGrid>
      <w:tr>
        <w:trPr>
          <w:cantSplit/>
          <w:tblHeader/>
        </w:trPr>
        <w:tc>
          <w:tcPr>
            <w:tcW w:w="2000" w:type="dxa"/>
            <w:shd w:val="clear" w:color="auto" w:fill="FCEC9F"/>
          </w:tcPr>
          <w:p>
            <w:pPr>
              <w:pStyle w:val="TableText"/>
            </w:pPr>
            <w:r>
              <w:rPr>
                <w:b/>
                <w:bCs/>
                <w:sz w:val="17"/>
                <w:szCs w:val="17"/>
              </w:rPr>
              <w:t xml:space="preserve">Past example</w:t>
            </w:r>
          </w:p>
        </w:tc>
        <w:tc>
          <w:tcPr>
            <w:tcW w:w="2700" w:type="dxa"/>
            <w:shd w:val="clear" w:color="auto" w:fill="FCEC9F"/>
          </w:tcPr>
          <w:p>
            <w:pPr>
              <w:pStyle w:val="TableText"/>
            </w:pPr>
            <w:r>
              <w:rPr>
                <w:b/>
                <w:bCs/>
                <w:sz w:val="17"/>
                <w:szCs w:val="17"/>
              </w:rPr>
              <w:t xml:space="preserve">What a good result looks like</w:t>
            </w:r>
          </w:p>
        </w:tc>
        <w:tc>
          <w:tcPr>
            <w:tcW w:w="2700" w:type="dxa"/>
            <w:shd w:val="clear" w:color="auto" w:fill="FCEC9F"/>
          </w:tcPr>
          <w:p>
            <w:pPr>
              <w:pStyle w:val="TableText"/>
            </w:pPr>
            <w:r>
              <w:rPr>
                <w:b/>
                <w:bCs/>
                <w:sz w:val="17"/>
                <w:szCs w:val="17"/>
              </w:rPr>
              <w:t xml:space="preserve">What the draft got wrong</w:t>
            </w:r>
          </w:p>
        </w:tc>
        <w:tc>
          <w:tcPr>
            <w:tcW w:w="2466" w:type="dxa"/>
            <w:shd w:val="clear" w:color="auto" w:fill="FCEC9F"/>
          </w:tcPr>
          <w:p>
            <w:pPr>
              <w:pStyle w:val="TableText"/>
            </w:pPr>
            <w:r>
              <w:rPr>
                <w:b/>
                <w:bCs/>
                <w:sz w:val="17"/>
                <w:szCs w:val="17"/>
              </w:rPr>
              <w:t xml:space="preserve">Change to the brief</w:t>
            </w:r>
          </w:p>
        </w:tc>
      </w:tr>
      <w:tr>
        <w:trPr>
          <w:cantSplit/>
          <w:trHeight w:val="560" w:hRule="atLeast"/>
        </w:trPr>
        <w:tc>
          <w:tcPr>
            <w:tcW w:w="2000" w:type="dxa"/>
          </w:tcPr>
          <w:p>
            <w:pPr>
              <w:pStyle w:val="TableText"/>
            </w:pPr>
            <w:r/>
          </w:p>
        </w:tc>
        <w:tc>
          <w:tcPr>
            <w:tcW w:w="2700" w:type="dxa"/>
          </w:tcPr>
          <w:p>
            <w:pPr>
              <w:pStyle w:val="TableText"/>
            </w:pPr>
            <w:r/>
          </w:p>
        </w:tc>
        <w:tc>
          <w:tcPr>
            <w:tcW w:w="2700" w:type="dxa"/>
          </w:tcPr>
          <w:p>
            <w:pPr>
              <w:pStyle w:val="TableText"/>
            </w:pPr>
            <w:r/>
          </w:p>
        </w:tc>
        <w:tc>
          <w:tcPr>
            <w:tcW w:w="2466" w:type="dxa"/>
          </w:tcPr>
          <w:p>
            <w:pPr>
              <w:pStyle w:val="TableText"/>
            </w:pPr>
            <w:r/>
          </w:p>
        </w:tc>
      </w:tr>
      <w:tr>
        <w:trPr>
          <w:cantSplit/>
          <w:trHeight w:val="560" w:hRule="atLeast"/>
        </w:trPr>
        <w:tc>
          <w:tcPr>
            <w:tcW w:w="2000" w:type="dxa"/>
          </w:tcPr>
          <w:p>
            <w:pPr>
              <w:pStyle w:val="TableText"/>
            </w:pPr>
            <w:r/>
          </w:p>
        </w:tc>
        <w:tc>
          <w:tcPr>
            <w:tcW w:w="2700" w:type="dxa"/>
          </w:tcPr>
          <w:p>
            <w:pPr>
              <w:pStyle w:val="TableText"/>
            </w:pPr>
            <w:r/>
          </w:p>
        </w:tc>
        <w:tc>
          <w:tcPr>
            <w:tcW w:w="2700" w:type="dxa"/>
          </w:tcPr>
          <w:p>
            <w:pPr>
              <w:pStyle w:val="TableText"/>
            </w:pPr>
            <w:r/>
          </w:p>
        </w:tc>
        <w:tc>
          <w:tcPr>
            <w:tcW w:w="2466" w:type="dxa"/>
          </w:tcPr>
          <w:p>
            <w:pPr>
              <w:pStyle w:val="TableText"/>
            </w:pPr>
            <w:r/>
          </w:p>
        </w:tc>
      </w:tr>
      <w:tr>
        <w:trPr>
          <w:cantSplit/>
          <w:trHeight w:val="560" w:hRule="atLeast"/>
        </w:trPr>
        <w:tc>
          <w:tcPr>
            <w:tcW w:w="2000" w:type="dxa"/>
          </w:tcPr>
          <w:p>
            <w:pPr>
              <w:pStyle w:val="TableText"/>
            </w:pPr>
            <w:r/>
          </w:p>
        </w:tc>
        <w:tc>
          <w:tcPr>
            <w:tcW w:w="2700" w:type="dxa"/>
          </w:tcPr>
          <w:p>
            <w:pPr>
              <w:pStyle w:val="TableText"/>
            </w:pPr>
            <w:r/>
          </w:p>
        </w:tc>
        <w:tc>
          <w:tcPr>
            <w:tcW w:w="2700" w:type="dxa"/>
          </w:tcPr>
          <w:p>
            <w:pPr>
              <w:pStyle w:val="TableText"/>
            </w:pPr>
            <w:r/>
          </w:p>
        </w:tc>
        <w:tc>
          <w:tcPr>
            <w:tcW w:w="2466" w:type="dxa"/>
          </w:tcPr>
          <w:p>
            <w:pPr>
              <w:pStyle w:val="TableText"/>
            </w:pPr>
            <w:r/>
          </w:p>
        </w:tc>
      </w:tr>
      <w:tr>
        <w:trPr>
          <w:cantSplit/>
          <w:trHeight w:val="560" w:hRule="atLeast"/>
        </w:trPr>
        <w:tc>
          <w:tcPr>
            <w:tcW w:w="2000" w:type="dxa"/>
          </w:tcPr>
          <w:p>
            <w:pPr>
              <w:pStyle w:val="TableText"/>
            </w:pPr>
            <w:r/>
          </w:p>
        </w:tc>
        <w:tc>
          <w:tcPr>
            <w:tcW w:w="2700" w:type="dxa"/>
          </w:tcPr>
          <w:p>
            <w:pPr>
              <w:pStyle w:val="TableText"/>
            </w:pPr>
            <w:r/>
          </w:p>
        </w:tc>
        <w:tc>
          <w:tcPr>
            <w:tcW w:w="2700" w:type="dxa"/>
          </w:tcPr>
          <w:p>
            <w:pPr>
              <w:pStyle w:val="TableText"/>
            </w:pPr>
            <w:r/>
          </w:p>
        </w:tc>
        <w:tc>
          <w:tcPr>
            <w:tcW w:w="2466" w:type="dxa"/>
          </w:tcPr>
          <w:p>
            <w:pPr>
              <w:pStyle w:val="TableText"/>
            </w:pPr>
            <w:r/>
          </w:p>
        </w:tc>
      </w:tr>
      <w:tr>
        <w:trPr>
          <w:cantSplit/>
          <w:trHeight w:val="560" w:hRule="atLeast"/>
        </w:trPr>
        <w:tc>
          <w:tcPr>
            <w:tcW w:w="2000" w:type="dxa"/>
          </w:tcPr>
          <w:p>
            <w:pPr>
              <w:pStyle w:val="TableText"/>
            </w:pPr>
            <w:r/>
          </w:p>
        </w:tc>
        <w:tc>
          <w:tcPr>
            <w:tcW w:w="2700" w:type="dxa"/>
          </w:tcPr>
          <w:p>
            <w:pPr>
              <w:pStyle w:val="TableText"/>
            </w:pPr>
            <w:r/>
          </w:p>
        </w:tc>
        <w:tc>
          <w:tcPr>
            <w:tcW w:w="2700" w:type="dxa"/>
          </w:tcPr>
          <w:p>
            <w:pPr>
              <w:pStyle w:val="TableText"/>
            </w:pPr>
            <w:r/>
          </w:p>
        </w:tc>
        <w:tc>
          <w:tcPr>
            <w:tcW w:w="2466" w:type="dxa"/>
          </w:tcPr>
          <w:p>
            <w:pPr>
              <w:pStyle w:val="TableText"/>
            </w:pPr>
            <w:r/>
          </w:p>
        </w:tc>
      </w:tr>
    </w:tbl>
    <w:p>
      <w:pPr>
        <w:pStyle w:val="Heading1"/>
      </w:pPr>
      <w:r>
        <w:t xml:space="preserve">Corrections log</w:t>
      </w:r>
    </w:p>
    <w:p>
      <w:r>
        <w:t xml:space="preserve">One line each time the checker fixes something. When the same correction comes up twice, change the brief and note the new version.</w:t>
      </w:r>
    </w:p>
    <w:tbl>
      <w:tblPr>
        <w:tblW w:w="9866"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1200"/>
        <w:gridCol w:w="1300"/>
        <w:gridCol w:w="4166"/>
        <w:gridCol w:w="3200"/>
      </w:tblGrid>
      <w:tr>
        <w:trPr>
          <w:cantSplit/>
          <w:tblHeader/>
        </w:trPr>
        <w:tc>
          <w:tcPr>
            <w:tcW w:w="1200" w:type="dxa"/>
            <w:shd w:val="clear" w:color="auto" w:fill="FCEC9F"/>
          </w:tcPr>
          <w:p>
            <w:pPr>
              <w:pStyle w:val="TableText"/>
            </w:pPr>
            <w:r>
              <w:rPr>
                <w:b/>
                <w:bCs/>
                <w:sz w:val="17"/>
                <w:szCs w:val="17"/>
              </w:rPr>
              <w:t xml:space="preserve">Date</w:t>
            </w:r>
          </w:p>
        </w:tc>
        <w:tc>
          <w:tcPr>
            <w:tcW w:w="1300" w:type="dxa"/>
            <w:shd w:val="clear" w:color="auto" w:fill="FCEC9F"/>
          </w:tcPr>
          <w:p>
            <w:pPr>
              <w:pStyle w:val="TableText"/>
            </w:pPr>
            <w:r>
              <w:rPr>
                <w:b/>
                <w:bCs/>
                <w:sz w:val="17"/>
                <w:szCs w:val="17"/>
              </w:rPr>
              <w:t xml:space="preserve">Brief version</w:t>
            </w:r>
          </w:p>
        </w:tc>
        <w:tc>
          <w:tcPr>
            <w:tcW w:w="4166" w:type="dxa"/>
            <w:shd w:val="clear" w:color="auto" w:fill="FCEC9F"/>
          </w:tcPr>
          <w:p>
            <w:pPr>
              <w:pStyle w:val="TableText"/>
            </w:pPr>
            <w:r>
              <w:rPr>
                <w:b/>
                <w:bCs/>
                <w:sz w:val="17"/>
                <w:szCs w:val="17"/>
              </w:rPr>
              <w:t xml:space="preserve">What was corrected</w:t>
            </w:r>
          </w:p>
        </w:tc>
        <w:tc>
          <w:tcPr>
            <w:tcW w:w="3200" w:type="dxa"/>
            <w:shd w:val="clear" w:color="auto" w:fill="FCEC9F"/>
          </w:tcPr>
          <w:p>
            <w:pPr>
              <w:pStyle w:val="TableText"/>
            </w:pPr>
            <w:r>
              <w:rPr>
                <w:b/>
                <w:bCs/>
                <w:sz w:val="17"/>
                <w:szCs w:val="17"/>
              </w:rPr>
              <w:t xml:space="preserve">Brief changed?</w:t>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r>
        <w:trPr>
          <w:cantSplit/>
          <w:trHeight w:val="480" w:hRule="atLeast"/>
        </w:trPr>
        <w:tc>
          <w:tcPr>
            <w:tcW w:w="1200" w:type="dxa"/>
          </w:tcPr>
          <w:p>
            <w:pPr>
              <w:pStyle w:val="TableText"/>
            </w:pPr>
            <w:r/>
          </w:p>
        </w:tc>
        <w:tc>
          <w:tcPr>
            <w:tcW w:w="1300" w:type="dxa"/>
          </w:tcPr>
          <w:p>
            <w:pPr>
              <w:pStyle w:val="TableText"/>
            </w:pPr>
            <w:r/>
          </w:p>
        </w:tc>
        <w:tc>
          <w:tcPr>
            <w:tcW w:w="4166" w:type="dxa"/>
          </w:tcPr>
          <w:p>
            <w:pPr>
              <w:pStyle w:val="TableText"/>
            </w:pPr>
            <w:r/>
          </w:p>
        </w:tc>
        <w:tc>
          <w:tcPr>
            <w:tcW w:w="3200" w:type="dxa"/>
          </w:tcPr>
          <w:p>
            <w:pPr>
              <w:pStyle w:val="TableText"/>
            </w:pPr>
            <w:r/>
          </w:p>
        </w:tc>
      </w:tr>
    </w:tbl>
    <w:p>
      <w:pPr>
        <w:pStyle w:val="Heading1"/>
        <w:pageBreakBefore/>
      </w:pPr>
      <w:r>
        <w:t xml:space="preserve">Monthly review</w:t>
      </w:r>
    </w:p>
    <w:p>
      <w:pPr>
        <w:pStyle w:val="Check"/>
      </w:pPr>
      <w:r>
        <w:rPr>
          <w:rFonts w:ascii="Segoe UI Symbol" w:hAnsi="Segoe UI Symbol" w:cs="Segoe UI Symbol"/>
          <w:sz w:val="22"/>
          <w:szCs w:val="22"/>
        </w:rPr>
        <w:t xml:space="preserve">☐</w:t>
      </w:r>
      <w:r>
        <w:tab/>
      </w:r>
      <w:r>
        <w:t xml:space="preserve">How many results needed major edits this month?</w:t>
      </w:r>
    </w:p>
    <w:p>
      <w:pPr>
        <w:pStyle w:val="Check"/>
      </w:pPr>
      <w:r>
        <w:rPr>
          <w:rFonts w:ascii="Segoe UI Symbol" w:hAnsi="Segoe UI Symbol" w:cs="Segoe UI Symbol"/>
          <w:sz w:val="22"/>
          <w:szCs w:val="22"/>
        </w:rPr>
        <w:t xml:space="preserve">☐</w:t>
      </w:r>
      <w:r>
        <w:tab/>
      </w:r>
      <w:r>
        <w:t xml:space="preserve">Did the same correction come up more than once? If so, change the brief.</w:t>
      </w:r>
    </w:p>
    <w:p>
      <w:pPr>
        <w:pStyle w:val="Check"/>
      </w:pPr>
      <w:r>
        <w:rPr>
          <w:rFonts w:ascii="Segoe UI Symbol" w:hAnsi="Segoe UI Symbol" w:cs="Segoe UI Symbol"/>
          <w:sz w:val="22"/>
          <w:szCs w:val="22"/>
        </w:rPr>
        <w:t xml:space="preserve">☐</w:t>
      </w:r>
      <w:r>
        <w:tab/>
      </w:r>
      <w:r>
        <w:t xml:space="preserve">Has the tool, the account or its settings changed? If so, re-run the test examples.</w:t>
      </w:r>
    </w:p>
    <w:p>
      <w:pPr>
        <w:pStyle w:val="Check"/>
      </w:pPr>
      <w:r>
        <w:rPr>
          <w:rFonts w:ascii="Segoe UI Symbol" w:hAnsi="Segoe UI Symbol" w:cs="Segoe UI Symbol"/>
          <w:sz w:val="22"/>
          <w:szCs w:val="22"/>
        </w:rPr>
        <w:t xml:space="preserve">☐</w:t>
      </w:r>
      <w:r>
        <w:tab/>
      </w:r>
      <w:r>
        <w:t xml:space="preserve">Is the checker still the right person, and are they checking against the inputs?</w:t>
      </w:r>
    </w:p>
    <w:p>
      <w:pPr>
        <w:pStyle w:val="Check"/>
      </w:pPr>
      <w:r>
        <w:rPr>
          <w:rFonts w:ascii="Segoe UI Symbol" w:hAnsi="Segoe UI Symbol" w:cs="Segoe UI Symbol"/>
          <w:sz w:val="22"/>
          <w:szCs w:val="22"/>
        </w:rPr>
        <w:t xml:space="preserve">☐</w:t>
      </w:r>
      <w:r>
        <w:tab/>
      </w:r>
      <w:r>
        <w:t xml:space="preserve">Are results landing where they should, with the inputs beside them?</w:t>
      </w:r>
    </w:p>
    <w:p>
      <w:pPr>
        <w:pStyle w:val="Check"/>
      </w:pPr>
      <w:r>
        <w:rPr>
          <w:rFonts w:ascii="Segoe UI Symbol" w:hAnsi="Segoe UI Symbol" w:cs="Segoe UI Symbol"/>
          <w:sz w:val="22"/>
          <w:szCs w:val="22"/>
        </w:rPr>
        <w:t xml:space="preserve">☐</w:t>
      </w:r>
      <w:r>
        <w:tab/>
      </w:r>
      <w:r>
        <w:t xml:space="preserve">If checking takes longer than doing the task by hand, change the task or stop.</w:t>
      </w:r>
    </w:p>
    <w:p>
      <w:pPr>
        <w:pStyle w:val="Heading2"/>
      </w:pPr>
      <w:r>
        <w:t xml:space="preserve">Decision</w:t>
      </w:r>
    </w:p>
    <w:p>
      <w:pPr>
        <w:pStyle w:val="Check"/>
      </w:pPr>
      <w:r>
        <w:rPr>
          <w:rFonts w:ascii="Segoe UI Symbol" w:hAnsi="Segoe UI Symbol" w:cs="Segoe UI Symbol"/>
          <w:sz w:val="22"/>
          <w:szCs w:val="22"/>
        </w:rPr>
        <w:t xml:space="preserve">☐</w:t>
      </w:r>
      <w:r>
        <w:tab/>
      </w:r>
      <w:r>
        <w:t xml:space="preserve">Keep the step as it is.</w:t>
      </w:r>
    </w:p>
    <w:p>
      <w:pPr>
        <w:pStyle w:val="Check"/>
      </w:pPr>
      <w:r>
        <w:rPr>
          <w:rFonts w:ascii="Segoe UI Symbol" w:hAnsi="Segoe UI Symbol" w:cs="Segoe UI Symbol"/>
          <w:sz w:val="22"/>
          <w:szCs w:val="22"/>
        </w:rPr>
        <w:t xml:space="preserve">☐</w:t>
      </w:r>
      <w:r>
        <w:tab/>
      </w:r>
      <w:r>
        <w:t xml:space="preserve">Change it, and note what changed in the corrections log.</w:t>
      </w:r>
    </w:p>
    <w:p>
      <w:pPr>
        <w:pStyle w:val="Check"/>
      </w:pPr>
      <w:r>
        <w:rPr>
          <w:rFonts w:ascii="Segoe UI Symbol" w:hAnsi="Segoe UI Symbol" w:cs="Segoe UI Symbol"/>
          <w:sz w:val="22"/>
          <w:szCs w:val="22"/>
        </w:rPr>
        <w:t xml:space="preserve">☐</w:t>
      </w:r>
      <w:r>
        <w:tab/>
      </w:r>
      <w:r>
        <w:t xml:space="preserve">Stop, and write down why.</w:t>
      </w:r>
    </w:p>
    <w:p>
      <w:pPr>
        <w:pStyle w:val="Fill"/>
      </w:pPr>
      <w:r>
        <w:t xml:space="preserve">Reviewed by</w:t>
        <w:tab/>
        <w:tab/>
        <w:t xml:space="preserve">Date</w:t>
        <w:tab/>
      </w:r>
    </w:p>
    <w:p>
      <w:pPr>
        <w:pStyle w:val="Heading1"/>
        <w:pageBreakBefore/>
      </w:pPr>
      <w:r>
        <w:t xml:space="preserve">Example task card</w:t>
      </w:r>
    </w:p>
    <w:p>
      <w:pPr>
        <w:pStyle w:val="Banner"/>
      </w:pPr>
      <w:r>
        <w:t xml:space="preserve">ILLUSTRATIVE EXAMPLE: invented to show the method. Not a real business, client or result.</w:t>
      </w:r>
    </w:p>
    <w:tbl>
      <w:tblPr>
        <w:tblW w:w="9866"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3000"/>
        <w:gridCol w:w="6866"/>
      </w:tblGrid>
      <w:tr>
        <w:trPr>
          <w:cantSplit/>
          <w:tblHeader/>
        </w:trPr>
        <w:tc>
          <w:tcPr>
            <w:tcW w:w="3000" w:type="dxa"/>
            <w:shd w:val="clear" w:color="auto" w:fill="FCEC9F"/>
          </w:tcPr>
          <w:p>
            <w:pPr>
              <w:pStyle w:val="TableText"/>
            </w:pPr>
            <w:r>
              <w:rPr>
                <w:b/>
                <w:bCs/>
                <w:sz w:val="17"/>
                <w:szCs w:val="17"/>
              </w:rPr>
              <w:t xml:space="preserve">Field</w:t>
            </w:r>
          </w:p>
        </w:tc>
        <w:tc>
          <w:tcPr>
            <w:tcW w:w="6866" w:type="dxa"/>
            <w:shd w:val="clear" w:color="auto" w:fill="FCEC9F"/>
          </w:tcPr>
          <w:p>
            <w:pPr>
              <w:pStyle w:val="TableText"/>
            </w:pPr>
            <w:r>
              <w:rPr>
                <w:b/>
                <w:bCs/>
                <w:sz w:val="17"/>
                <w:szCs w:val="17"/>
              </w:rPr>
              <w:t xml:space="preserve">Example</w:t>
            </w:r>
          </w:p>
        </w:tc>
      </w:tr>
      <w:tr>
        <w:trPr>
          <w:cantSplit/>
        </w:trPr>
        <w:tc>
          <w:tcPr>
            <w:tcW w:w="3000" w:type="dxa"/>
          </w:tcPr>
          <w:p>
            <w:pPr>
              <w:pStyle w:val="TableText"/>
            </w:pPr>
            <w:r>
              <w:rPr>
                <w:b/>
                <w:bCs/>
              </w:rPr>
              <w:t xml:space="preserve">Task</w:t>
            </w:r>
          </w:p>
        </w:tc>
        <w:tc>
          <w:tcPr>
            <w:tcW w:w="6866" w:type="dxa"/>
          </w:tcPr>
          <w:p>
            <w:pPr>
              <w:pStyle w:val="TableText"/>
            </w:pPr>
            <w:r>
              <w:t xml:space="preserve">Workshop follow-up email</w:t>
            </w:r>
          </w:p>
        </w:tc>
      </w:tr>
      <w:tr>
        <w:trPr>
          <w:cantSplit/>
        </w:trPr>
        <w:tc>
          <w:tcPr>
            <w:tcW w:w="3000" w:type="dxa"/>
          </w:tcPr>
          <w:p>
            <w:pPr>
              <w:pStyle w:val="TableText"/>
            </w:pPr>
            <w:r>
              <w:rPr>
                <w:b/>
                <w:bCs/>
              </w:rPr>
              <w:t xml:space="preserve">When it runs</w:t>
            </w:r>
          </w:p>
        </w:tc>
        <w:tc>
          <w:tcPr>
            <w:tcW w:w="6866" w:type="dxa"/>
          </w:tcPr>
          <w:p>
            <w:pPr>
              <w:pStyle w:val="TableText"/>
            </w:pPr>
            <w:r>
              <w:t xml:space="preserve">Within a day of a client workshop</w:t>
            </w:r>
          </w:p>
        </w:tc>
      </w:tr>
      <w:tr>
        <w:trPr>
          <w:cantSplit/>
        </w:trPr>
        <w:tc>
          <w:tcPr>
            <w:tcW w:w="3000" w:type="dxa"/>
          </w:tcPr>
          <w:p>
            <w:pPr>
              <w:pStyle w:val="TableText"/>
            </w:pPr>
            <w:r>
              <w:rPr>
                <w:b/>
                <w:bCs/>
              </w:rPr>
              <w:t xml:space="preserve">Inputs, and where they come from</w:t>
            </w:r>
          </w:p>
        </w:tc>
        <w:tc>
          <w:tcPr>
            <w:tcW w:w="6866" w:type="dxa"/>
          </w:tcPr>
          <w:p>
            <w:pPr>
              <w:pStyle w:val="TableText"/>
            </w:pPr>
            <w:r>
              <w:t xml:space="preserve">Workshop notes, using the shared notes template, and the agreed scope from the client folder</w:t>
            </w:r>
          </w:p>
        </w:tc>
      </w:tr>
      <w:tr>
        <w:trPr>
          <w:cantSplit/>
        </w:trPr>
        <w:tc>
          <w:tcPr>
            <w:tcW w:w="3000" w:type="dxa"/>
          </w:tcPr>
          <w:p>
            <w:pPr>
              <w:pStyle w:val="TableText"/>
            </w:pPr>
            <w:r>
              <w:rPr>
                <w:b/>
                <w:bCs/>
              </w:rPr>
              <w:t xml:space="preserve">What stays out</w:t>
            </w:r>
          </w:p>
        </w:tc>
        <w:tc>
          <w:tcPr>
            <w:tcW w:w="6866" w:type="dxa"/>
          </w:tcPr>
          <w:p>
            <w:pPr>
              <w:pStyle w:val="TableText"/>
            </w:pPr>
            <w:r>
              <w:t xml:space="preserve">Personal details beyond names and roles. Anything marked confidential.</w:t>
            </w:r>
          </w:p>
        </w:tc>
      </w:tr>
      <w:tr>
        <w:trPr>
          <w:cantSplit/>
        </w:trPr>
        <w:tc>
          <w:tcPr>
            <w:tcW w:w="3000" w:type="dxa"/>
          </w:tcPr>
          <w:p>
            <w:pPr>
              <w:pStyle w:val="TableText"/>
            </w:pPr>
            <w:r>
              <w:rPr>
                <w:b/>
                <w:bCs/>
              </w:rPr>
              <w:t xml:space="preserve">Tool and account</w:t>
            </w:r>
          </w:p>
        </w:tc>
        <w:tc>
          <w:tcPr>
            <w:tcW w:w="6866" w:type="dxa"/>
          </w:tcPr>
          <w:p>
            <w:pPr>
              <w:pStyle w:val="TableText"/>
            </w:pPr>
            <w:r>
              <w:t xml:space="preserve">The approved AI tool, on the business account</w:t>
            </w:r>
          </w:p>
        </w:tc>
      </w:tr>
      <w:tr>
        <w:trPr>
          <w:cantSplit/>
        </w:trPr>
        <w:tc>
          <w:tcPr>
            <w:tcW w:w="3000" w:type="dxa"/>
          </w:tcPr>
          <w:p>
            <w:pPr>
              <w:pStyle w:val="TableText"/>
            </w:pPr>
            <w:r>
              <w:rPr>
                <w:b/>
                <w:bCs/>
              </w:rPr>
              <w:t xml:space="preserve">Instructions (brief name and version)</w:t>
            </w:r>
          </w:p>
        </w:tc>
        <w:tc>
          <w:tcPr>
            <w:tcW w:w="6866" w:type="dxa"/>
          </w:tcPr>
          <w:p>
            <w:pPr>
              <w:pStyle w:val="TableText"/>
            </w:pPr>
            <w:r>
              <w:t xml:space="preserve">Follow-up brief v3, in the shared drive</w:t>
            </w:r>
          </w:p>
        </w:tc>
      </w:tr>
      <w:tr>
        <w:trPr>
          <w:cantSplit/>
        </w:trPr>
        <w:tc>
          <w:tcPr>
            <w:tcW w:w="3000" w:type="dxa"/>
          </w:tcPr>
          <w:p>
            <w:pPr>
              <w:pStyle w:val="TableText"/>
            </w:pPr>
            <w:r>
              <w:rPr>
                <w:b/>
                <w:bCs/>
              </w:rPr>
              <w:t xml:space="preserve">Checked by, and against what</w:t>
            </w:r>
          </w:p>
        </w:tc>
        <w:tc>
          <w:tcPr>
            <w:tcW w:w="6866" w:type="dxa"/>
          </w:tcPr>
          <w:p>
            <w:pPr>
              <w:pStyle w:val="TableText"/>
            </w:pPr>
            <w:r>
              <w:t xml:space="preserve">The workshop lead, against the notes, before sending</w:t>
            </w:r>
          </w:p>
        </w:tc>
      </w:tr>
      <w:tr>
        <w:trPr>
          <w:cantSplit/>
        </w:trPr>
        <w:tc>
          <w:tcPr>
            <w:tcW w:w="3000" w:type="dxa"/>
          </w:tcPr>
          <w:p>
            <w:pPr>
              <w:pStyle w:val="TableText"/>
            </w:pPr>
            <w:r>
              <w:rPr>
                <w:b/>
                <w:bCs/>
              </w:rPr>
              <w:t xml:space="preserve">Where the result goes</w:t>
            </w:r>
          </w:p>
        </w:tc>
        <w:tc>
          <w:tcPr>
            <w:tcW w:w="6866" w:type="dxa"/>
          </w:tcPr>
          <w:p>
            <w:pPr>
              <w:pStyle w:val="TableText"/>
            </w:pPr>
            <w:r>
              <w:t xml:space="preserve">Sent from the client’s email thread. Notes and draft saved to the client folder.</w:t>
            </w:r>
          </w:p>
        </w:tc>
      </w:tr>
      <w:tr>
        <w:trPr>
          <w:cantSplit/>
        </w:trPr>
        <w:tc>
          <w:tcPr>
            <w:tcW w:w="3000" w:type="dxa"/>
          </w:tcPr>
          <w:p>
            <w:pPr>
              <w:pStyle w:val="TableText"/>
            </w:pPr>
            <w:r>
              <w:rPr>
                <w:b/>
                <w:bCs/>
              </w:rPr>
              <w:t xml:space="preserve">Card owner</w:t>
            </w:r>
          </w:p>
        </w:tc>
        <w:tc>
          <w:tcPr>
            <w:tcW w:w="6866" w:type="dxa"/>
          </w:tcPr>
          <w:p>
            <w:pPr>
              <w:pStyle w:val="TableText"/>
            </w:pPr>
            <w:r>
              <w:t xml:space="preserve">Operations lead</w:t>
            </w:r>
          </w:p>
        </w:tc>
      </w:tr>
      <w:tr>
        <w:trPr>
          <w:cantSplit/>
        </w:trPr>
        <w:tc>
          <w:tcPr>
            <w:tcW w:w="3000" w:type="dxa"/>
          </w:tcPr>
          <w:p>
            <w:pPr>
              <w:pStyle w:val="TableText"/>
            </w:pPr>
            <w:r>
              <w:rPr>
                <w:b/>
                <w:bCs/>
              </w:rPr>
              <w:t xml:space="preserve">Next review</w:t>
            </w:r>
          </w:p>
        </w:tc>
        <w:tc>
          <w:tcPr>
            <w:tcW w:w="6866" w:type="dxa"/>
          </w:tcPr>
          <w:p>
            <w:pPr>
              <w:pStyle w:val="TableText"/>
            </w:pPr>
            <w:r>
              <w:t xml:space="preserve">First Monday of the month</w:t>
            </w:r>
          </w:p>
        </w:tc>
      </w:tr>
    </w:tbl>
    <w:p>
      <w:pPr>
        <w:spacing w:after="0"/>
      </w:pPr>
      <w:r/>
    </w:p>
    <w:p>
      <w:pPr>
        <w:pStyle w:val="Heading2"/>
      </w:pPr>
      <w:r>
        <w:t xml:space="preserve">Example corrections log</w:t>
      </w:r>
    </w:p>
    <w:tbl>
      <w:tblPr>
        <w:tblW w:w="9866" w:type="dxa"/>
        <w:tblBorders>
          <w:top w:val="single" w:sz="8" w:space="0" w:color="1C1B18"/>
          <w:left w:val="single" w:sz="4" w:space="0" w:color="D6CFBF"/>
          <w:bottom w:val="single" w:sz="8" w:space="0" w:color="1C1B18"/>
          <w:right w:val="single" w:sz="4" w:space="0" w:color="D6CFBF"/>
          <w:insideH w:val="single" w:sz="4" w:space="0" w:color="D6CFBF"/>
          <w:insideV w:val="single" w:sz="4" w:space="0" w:color="D6CFBF"/>
        </w:tblBorders>
        <w:tblLayout w:type="fixed"/>
        <w:tblCellMar>
          <w:top w:w="57" w:type="dxa"/>
          <w:left w:w="85" w:type="dxa"/>
          <w:bottom w:w="57" w:type="dxa"/>
          <w:right w:w="85" w:type="dxa"/>
        </w:tblCellMar>
        <w:tblLook w:val="04A0" w:firstRow="1" w:lastRow="0" w:firstColumn="0" w:lastColumn="0" w:noHBand="0" w:noVBand="1"/>
      </w:tblPr>
      <w:tblGrid>
        <w:gridCol w:w="1200"/>
        <w:gridCol w:w="1300"/>
        <w:gridCol w:w="4166"/>
        <w:gridCol w:w="3200"/>
      </w:tblGrid>
      <w:tr>
        <w:trPr>
          <w:cantSplit/>
          <w:tblHeader/>
        </w:trPr>
        <w:tc>
          <w:tcPr>
            <w:tcW w:w="1200" w:type="dxa"/>
            <w:shd w:val="clear" w:color="auto" w:fill="FCEC9F"/>
          </w:tcPr>
          <w:p>
            <w:pPr>
              <w:pStyle w:val="TableText"/>
            </w:pPr>
            <w:r>
              <w:rPr>
                <w:b/>
                <w:bCs/>
                <w:sz w:val="17"/>
                <w:szCs w:val="17"/>
              </w:rPr>
              <w:t xml:space="preserve">Date</w:t>
            </w:r>
          </w:p>
        </w:tc>
        <w:tc>
          <w:tcPr>
            <w:tcW w:w="1300" w:type="dxa"/>
            <w:shd w:val="clear" w:color="auto" w:fill="FCEC9F"/>
          </w:tcPr>
          <w:p>
            <w:pPr>
              <w:pStyle w:val="TableText"/>
            </w:pPr>
            <w:r>
              <w:rPr>
                <w:b/>
                <w:bCs/>
                <w:sz w:val="17"/>
                <w:szCs w:val="17"/>
              </w:rPr>
              <w:t xml:space="preserve">Brief version</w:t>
            </w:r>
          </w:p>
        </w:tc>
        <w:tc>
          <w:tcPr>
            <w:tcW w:w="4166" w:type="dxa"/>
            <w:shd w:val="clear" w:color="auto" w:fill="FCEC9F"/>
          </w:tcPr>
          <w:p>
            <w:pPr>
              <w:pStyle w:val="TableText"/>
            </w:pPr>
            <w:r>
              <w:rPr>
                <w:b/>
                <w:bCs/>
                <w:sz w:val="17"/>
                <w:szCs w:val="17"/>
              </w:rPr>
              <w:t xml:space="preserve">What was corrected</w:t>
            </w:r>
          </w:p>
        </w:tc>
        <w:tc>
          <w:tcPr>
            <w:tcW w:w="3200" w:type="dxa"/>
            <w:shd w:val="clear" w:color="auto" w:fill="FCEC9F"/>
          </w:tcPr>
          <w:p>
            <w:pPr>
              <w:pStyle w:val="TableText"/>
            </w:pPr>
            <w:r>
              <w:rPr>
                <w:b/>
                <w:bCs/>
                <w:sz w:val="17"/>
                <w:szCs w:val="17"/>
              </w:rPr>
              <w:t xml:space="preserve">Brief changed?</w:t>
            </w:r>
          </w:p>
        </w:tc>
      </w:tr>
      <w:tr>
        <w:trPr>
          <w:cantSplit/>
        </w:trPr>
        <w:tc>
          <w:tcPr>
            <w:tcW w:w="1200" w:type="dxa"/>
          </w:tcPr>
          <w:p>
            <w:pPr>
              <w:pStyle w:val="TableText"/>
            </w:pPr>
            <w:r>
              <w:t xml:space="preserve">Week 1</w:t>
            </w:r>
          </w:p>
        </w:tc>
        <w:tc>
          <w:tcPr>
            <w:tcW w:w="1300" w:type="dxa"/>
          </w:tcPr>
          <w:p>
            <w:pPr>
              <w:pStyle w:val="TableText"/>
            </w:pPr>
            <w:r>
              <w:t xml:space="preserve">v1</w:t>
            </w:r>
          </w:p>
        </w:tc>
        <w:tc>
          <w:tcPr>
            <w:tcW w:w="4166" w:type="dxa"/>
          </w:tcPr>
          <w:p>
            <w:pPr>
              <w:pStyle w:val="TableText"/>
            </w:pPr>
            <w:r>
              <w:t xml:space="preserve">The draft promised a delivery date that wasn’t in the notes.</w:t>
            </w:r>
          </w:p>
        </w:tc>
        <w:tc>
          <w:tcPr>
            <w:tcW w:w="3200" w:type="dxa"/>
          </w:tcPr>
          <w:p>
            <w:pPr>
              <w:pStyle w:val="TableText"/>
            </w:pPr>
            <w:r>
              <w:t xml:space="preserve">Yes. v2 adds ‘no dates unless they’re in the notes’.</w:t>
            </w:r>
          </w:p>
        </w:tc>
      </w:tr>
      <w:tr>
        <w:trPr>
          <w:cantSplit/>
        </w:trPr>
        <w:tc>
          <w:tcPr>
            <w:tcW w:w="1200" w:type="dxa"/>
          </w:tcPr>
          <w:p>
            <w:pPr>
              <w:pStyle w:val="TableText"/>
            </w:pPr>
            <w:r>
              <w:t xml:space="preserve">Week 2</w:t>
            </w:r>
          </w:p>
        </w:tc>
        <w:tc>
          <w:tcPr>
            <w:tcW w:w="1300" w:type="dxa"/>
          </w:tcPr>
          <w:p>
            <w:pPr>
              <w:pStyle w:val="TableText"/>
            </w:pPr>
            <w:r>
              <w:t xml:space="preserve">v2</w:t>
            </w:r>
          </w:p>
        </w:tc>
        <w:tc>
          <w:tcPr>
            <w:tcW w:w="4166" w:type="dxa"/>
          </w:tcPr>
          <w:p>
            <w:pPr>
              <w:pStyle w:val="TableText"/>
            </w:pPr>
            <w:r>
              <w:t xml:space="preserve">Open questions from the workshop were left out.</w:t>
            </w:r>
          </w:p>
        </w:tc>
        <w:tc>
          <w:tcPr>
            <w:tcW w:w="3200" w:type="dxa"/>
          </w:tcPr>
          <w:p>
            <w:pPr>
              <w:pStyle w:val="TableText"/>
            </w:pPr>
            <w:r>
              <w:t xml:space="preserve">Yes. v3 makes open questions a required section.</w:t>
            </w:r>
          </w:p>
        </w:tc>
      </w:tr>
      <w:tr>
        <w:trPr>
          <w:cantSplit/>
        </w:trPr>
        <w:tc>
          <w:tcPr>
            <w:tcW w:w="1200" w:type="dxa"/>
          </w:tcPr>
          <w:p>
            <w:pPr>
              <w:pStyle w:val="TableText"/>
            </w:pPr>
            <w:r>
              <w:t xml:space="preserve">Week 3</w:t>
            </w:r>
          </w:p>
        </w:tc>
        <w:tc>
          <w:tcPr>
            <w:tcW w:w="1300" w:type="dxa"/>
          </w:tcPr>
          <w:p>
            <w:pPr>
              <w:pStyle w:val="TableText"/>
            </w:pPr>
            <w:r>
              <w:t xml:space="preserve">v3</w:t>
            </w:r>
          </w:p>
        </w:tc>
        <w:tc>
          <w:tcPr>
            <w:tcW w:w="4166" w:type="dxa"/>
          </w:tcPr>
          <w:p>
            <w:pPr>
              <w:pStyle w:val="TableText"/>
            </w:pPr>
            <w:r>
              <w:t xml:space="preserve">Tone too formal for this client.</w:t>
            </w:r>
          </w:p>
        </w:tc>
        <w:tc>
          <w:tcPr>
            <w:tcW w:w="3200" w:type="dxa"/>
          </w:tcPr>
          <w:p>
            <w:pPr>
              <w:pStyle w:val="TableText"/>
            </w:pPr>
            <w:r>
              <w:t xml:space="preserve">No. A one-off, edited by hand.</w:t>
            </w:r>
          </w:p>
        </w:tc>
      </w:tr>
    </w:tbl>
    <w:p>
      <w:pPr>
        <w:spacing w:after="0"/>
      </w:pPr>
      <w:r/>
    </w:p>
    <w:p>
      <w:pPr>
        <w:pStyle w:val="Small"/>
      </w:pPr>
      <w:r>
        <w:t xml:space="preserve">From the RunByOps guides by Kevin Ly. The example in this document is illustrative.</w:t>
      </w:r>
    </w:p>
    <w:sectPr>
      <w:footerReference w:type="default" r:id="rId4"/>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pStyle w:val="Footer"/>
    </w:pPr>
    <w:r>
      <w:t xml:space="preserve">RunByOps · AI task card · Page </w:t>
    </w:r>
    <w:r>
      <w:rPr>
        <w:color w:val="6B655B"/>
        <w:sz w:val="16"/>
      </w:rPr>
      <w:fldChar w:fldCharType="begin"/>
    </w:r>
    <w:r>
      <w:rPr>
        <w:color w:val="6B655B"/>
        <w:sz w:val="16"/>
      </w:rPr>
      <w:instrText xml:space="preserve"> PAGE </w:instrText>
    </w:r>
    <w:r>
      <w:rPr>
        <w:color w:val="6B655B"/>
        <w:sz w:val="16"/>
      </w:rPr>
      <w:fldChar w:fldCharType="separate"/>
    </w:r>
    <w:r>
      <w:rPr>
        <w:color w:val="6B655B"/>
        <w:sz w:val="16"/>
      </w:rPr>
      <w:t>1</w:t>
    </w:r>
    <w:r>
      <w:rPr>
        <w:color w:val="6B655B"/>
        <w:sz w:val="16"/>
      </w:rPr>
      <w:fldChar w:fldCharType="end"/>
    </w:r>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decimal"/>
      <w:lvlText w:val="%1."/>
      <w:lvlJc w:val="left"/>
      <w:pPr>
        <w:ind w:left="397" w:hanging="397"/>
      </w:pPr>
      <w:rPr>
        <w:b/>
      </w:rPr>
    </w:lvl>
  </w:abstractNum>
  <w:abstractNum w:abstractNumId="1">
    <w:multiLevelType w:val="singleLevel"/>
    <w:lvl w:ilvl="0">
      <w:start w:val="1"/>
      <w:numFmt w:val="bullet"/>
      <w:lvlText w:val="•"/>
      <w:lvlJc w:val="left"/>
      <w:pPr>
        <w:ind w:left="397" w:hanging="397"/>
      </w:pPr>
      <w:rPr>
        <w:rFonts w:ascii="Arial" w:hAnsi="Arial" w:cs="Arial"/>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eastAsia="Arial" w:hAnsi="Arial" w:cs="Arial"/>
        <w:color w:val="1C1B18"/>
        <w:sz w:val="20"/>
        <w:szCs w:val="20"/>
        <w:lang w:val="en-AU" w:eastAsia="en-AU"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60" w:line="240" w:lineRule="auto"/>
    </w:pPr>
    <w:rPr>
      <w:b/>
      <w:bCs/>
      <w:sz w:val="40"/>
      <w:szCs w:val="40"/>
    </w:rPr>
  </w:style>
  <w:style w:type="paragraph" w:styleId="Subtitle">
    <w:name w:val="Subtitle"/>
    <w:basedOn w:val="Normal"/>
    <w:next w:val="Normal"/>
    <w:qFormat/>
    <w:pPr>
      <w:spacing w:after="240"/>
    </w:pPr>
    <w:rPr>
      <w:color w:val="4A463F"/>
      <w:sz w:val="19"/>
      <w:szCs w:val="19"/>
    </w:rPr>
  </w:style>
  <w:style w:type="paragraph" w:styleId="Heading1">
    <w:name w:val="heading 1"/>
    <w:basedOn w:val="Normal"/>
    <w:next w:val="Normal"/>
    <w:uiPriority w:val="9"/>
    <w:qFormat/>
    <w:pPr>
      <w:keepNext/>
      <w:keepLines/>
      <w:pBdr>
        <w:top w:val="single" w:sz="12" w:space="8" w:color="1C1B18"/>
      </w:pBdr>
      <w:spacing w:before="320" w:after="120" w:line="240" w:lineRule="auto"/>
      <w:outlineLvl w:val="0"/>
    </w:pPr>
    <w:rPr>
      <w:b/>
      <w:bCs/>
      <w:sz w:val="28"/>
      <w:szCs w:val="28"/>
    </w:rPr>
  </w:style>
  <w:style w:type="paragraph" w:styleId="Heading2">
    <w:name w:val="heading 2"/>
    <w:basedOn w:val="Normal"/>
    <w:next w:val="Normal"/>
    <w:uiPriority w:val="9"/>
    <w:qFormat/>
    <w:pPr>
      <w:keepNext/>
      <w:keepLines/>
      <w:spacing w:before="240" w:after="80"/>
      <w:outlineLvl w:val="1"/>
    </w:pPr>
    <w:rPr>
      <w:b/>
      <w:bCs/>
      <w:caps/>
      <w:color w:val="4A463F"/>
      <w:sz w:val="18"/>
      <w:szCs w:val="18"/>
    </w:rPr>
  </w:style>
  <w:style w:type="paragraph" w:styleId="ListParagraph">
    <w:name w:val="List Paragraph"/>
    <w:basedOn w:val="Normal"/>
    <w:uiPriority w:val="34"/>
    <w:qFormat/>
    <w:pPr>
      <w:spacing w:after="80"/>
      <w:ind w:left="397" w:hanging="397"/>
    </w:pPr>
  </w:style>
  <w:style w:type="paragraph" w:styleId="Check">
    <w:name w:val="Checklist item"/>
    <w:basedOn w:val="Normal"/>
    <w:qFormat/>
    <w:pPr>
      <w:tabs>
        <w:tab w:val="left" w:pos="397"/>
      </w:tabs>
      <w:spacing w:after="90"/>
      <w:ind w:left="397" w:hanging="397"/>
    </w:pPr>
  </w:style>
  <w:style w:type="paragraph" w:styleId="Small">
    <w:name w:val="Small"/>
    <w:basedOn w:val="Normal"/>
    <w:qFormat/>
    <w:rPr>
      <w:color w:val="4A463F"/>
      <w:sz w:val="17"/>
      <w:szCs w:val="17"/>
    </w:rPr>
  </w:style>
  <w:style w:type="paragraph" w:styleId="Fill">
    <w:name w:val="Fill-in line"/>
    <w:basedOn w:val="Normal"/>
    <w:pPr>
      <w:tabs>
        <w:tab w:val="left" w:leader="underscore" w:pos="5600"/>
        <w:tab w:val="left" w:pos="5900"/>
        <w:tab w:val="left" w:leader="underscore" w:pos="9800"/>
        <w:tab w:val="left" w:pos="10100"/>
        <w:tab w:val="left" w:leader="underscore" w:pos="14700"/>
      </w:tabs>
      <w:spacing w:after="160"/>
    </w:pPr>
  </w:style>
  <w:style w:type="paragraph" w:styleId="Code">
    <w:name w:val="Code"/>
    <w:basedOn w:val="Normal"/>
    <w:qFormat/>
    <w:pPr>
      <w:shd w:val="clear" w:color="auto" w:fill="F2EFE7"/>
      <w:spacing w:after="0" w:line="240" w:lineRule="auto"/>
      <w:ind w:left="170" w:right="170"/>
    </w:pPr>
    <w:rPr>
      <w:rFonts w:ascii="Courier New" w:hAnsi="Courier New" w:cs="Courier New"/>
      <w:sz w:val="18"/>
      <w:szCs w:val="18"/>
    </w:rPr>
  </w:style>
  <w:style w:type="paragraph" w:styleId="Banner">
    <w:name w:val="Illustrative banner"/>
    <w:basedOn w:val="Normal"/>
    <w:qFormat/>
    <w:pPr>
      <w:pBdr>
        <w:top w:val="single" w:sz="12" w:space="4" w:color="AD281E"/>
        <w:left w:val="single" w:sz="12" w:space="4" w:color="AD281E"/>
        <w:bottom w:val="single" w:sz="12" w:space="4" w:color="AD281E"/>
        <w:right w:val="single" w:sz="12" w:space="4" w:color="AD281E"/>
      </w:pBdr>
      <w:shd w:val="clear" w:color="auto" w:fill="FBE9EB"/>
      <w:spacing w:before="120" w:after="240"/>
    </w:pPr>
    <w:rPr>
      <w:b/>
      <w:bCs/>
      <w:color w:val="AD281E"/>
    </w:rPr>
  </w:style>
  <w:style w:type="paragraph" w:styleId="TableText">
    <w:name w:val="Table text"/>
    <w:basedOn w:val="Normal"/>
    <w:qFormat/>
    <w:pPr>
      <w:spacing w:after="0" w:line="240" w:lineRule="auto"/>
    </w:pPr>
    <w:rPr>
      <w:sz w:val="18"/>
      <w:szCs w:val="18"/>
    </w:rPr>
  </w:style>
  <w:style w:type="paragraph" w:styleId="Footer">
    <w:name w:val="footer"/>
    <w:basedOn w:val="Normal"/>
    <w:pPr>
      <w:spacing w:after="0"/>
    </w:pPr>
    <w:rPr>
      <w:color w:val="6B655B"/>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numbering" Target="numbering.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task card</dc:title>
  <dc:subject>RunByOps guide 04 template</dc:subject>
  <dc:creator>RunByOps</dc:creator>
  <cp:keywords>AI, workflow, task card, instructions, review, template</cp:keywords>
  <dc:description>Free template from the RunByOps guides by Kevin Ly. The example is illustrative.</dc:description>
  <cp:lastModifiedBy>RunByOps</cp:lastModifiedBy>
  <dcterms:created xsi:type="dcterms:W3CDTF">2026-10-04T09:00:00Z</dcterms:created>
  <dcterms:modified xsi:type="dcterms:W3CDTF">2026-10-04T09:00:00Z</dcterms:modified>
</cp:coreProperties>
</file>